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F6D69" w14:textId="77777777" w:rsidR="00D73BCE" w:rsidRPr="00DF2815" w:rsidRDefault="00D73BCE" w:rsidP="00D7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2815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Terminologija</w:t>
      </w:r>
    </w:p>
    <w:p w14:paraId="371532E1" w14:textId="77777777" w:rsidR="00D73BCE" w:rsidRPr="00BF040E" w:rsidRDefault="00D73BCE" w:rsidP="00D7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1980"/>
        <w:gridCol w:w="8100"/>
      </w:tblGrid>
      <w:tr w:rsidR="00D73BCE" w14:paraId="2B805111" w14:textId="77777777" w:rsidTr="00D90FAB">
        <w:trPr>
          <w:trHeight w:val="332"/>
        </w:trPr>
        <w:tc>
          <w:tcPr>
            <w:tcW w:w="1980" w:type="dxa"/>
            <w:shd w:val="clear" w:color="auto" w:fill="4F81BD" w:themeFill="accent1"/>
            <w:vAlign w:val="center"/>
          </w:tcPr>
          <w:p w14:paraId="434DC47E" w14:textId="77777777" w:rsidR="00D73BCE" w:rsidRPr="002B2F1E" w:rsidRDefault="00D73BCE" w:rsidP="00D90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</w:pPr>
            <w:r w:rsidRPr="002B2F1E">
              <w:rPr>
                <w:rFonts w:ascii="Times New Roman" w:eastAsia="Times New Roman" w:hAnsi="Times New Roman" w:cs="Times New Roman"/>
                <w:b/>
                <w:color w:val="FFFFFF" w:themeColor="background1"/>
                <w:u w:val="single"/>
                <w:lang w:bidi="hr-HR"/>
              </w:rPr>
              <w:t>Pojam</w:t>
            </w:r>
          </w:p>
        </w:tc>
        <w:tc>
          <w:tcPr>
            <w:tcW w:w="8100" w:type="dxa"/>
            <w:shd w:val="clear" w:color="auto" w:fill="4F81BD" w:themeFill="accent1"/>
            <w:vAlign w:val="center"/>
          </w:tcPr>
          <w:p w14:paraId="1977FF0D" w14:textId="77777777" w:rsidR="00D73BCE" w:rsidRPr="002B2F1E" w:rsidRDefault="00D73BCE" w:rsidP="00D90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</w:pPr>
            <w:r w:rsidRPr="002B2F1E">
              <w:rPr>
                <w:rFonts w:ascii="Times New Roman" w:eastAsia="Times New Roman" w:hAnsi="Times New Roman" w:cs="Times New Roman"/>
                <w:b/>
                <w:color w:val="FFFFFF" w:themeColor="background1"/>
                <w:u w:val="single"/>
                <w:lang w:bidi="hr-HR"/>
              </w:rPr>
              <w:t>Definicija</w:t>
            </w:r>
          </w:p>
        </w:tc>
      </w:tr>
      <w:tr w:rsidR="00D73BCE" w14:paraId="7C3466E2" w14:textId="77777777" w:rsidTr="00D90FAB">
        <w:trPr>
          <w:trHeight w:val="800"/>
        </w:trPr>
        <w:tc>
          <w:tcPr>
            <w:tcW w:w="1980" w:type="dxa"/>
            <w:shd w:val="clear" w:color="auto" w:fill="auto"/>
          </w:tcPr>
          <w:p w14:paraId="74B2CD9E" w14:textId="5977EFD0" w:rsidR="00D73BCE" w:rsidRPr="00DF2815" w:rsidRDefault="008358E8" w:rsidP="00D9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Strateška kontrola trgovin</w:t>
            </w:r>
            <w:r w:rsidR="00240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 (</w:t>
            </w:r>
            <w:r w:rsidR="00240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STC)</w:t>
            </w:r>
          </w:p>
        </w:tc>
        <w:tc>
          <w:tcPr>
            <w:tcW w:w="8100" w:type="dxa"/>
            <w:shd w:val="clear" w:color="auto" w:fill="auto"/>
          </w:tcPr>
          <w:p w14:paraId="0A871B71" w14:textId="5EF55E2D" w:rsidR="00D73BCE" w:rsidRPr="00373730" w:rsidRDefault="00D73BCE" w:rsidP="00D90FA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730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Zakoni, propisi, posebna pravila, ograničenja i administrativni postupci koji uređuju trgovinu i transakcije koje uključuju </w:t>
            </w:r>
            <w:r w:rsidR="002408DC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robu</w:t>
            </w:r>
            <w:r w:rsidRPr="00373730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, poduzeća/subjekte/pojedince i države za koje postoji mogućnost da će se </w:t>
            </w:r>
            <w:r w:rsidR="002408DC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uključena roba</w:t>
            </w:r>
            <w:r w:rsidRPr="00373730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koristiti kao oružje za masovno uništenje ili kao konvencionaln</w:t>
            </w:r>
            <w:r w:rsidR="0047690E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o</w:t>
            </w:r>
            <w:r w:rsidRPr="00373730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oružje.</w:t>
            </w:r>
          </w:p>
        </w:tc>
      </w:tr>
      <w:tr w:rsidR="00D73BCE" w14:paraId="4DD56E72" w14:textId="77777777" w:rsidTr="00D90FAB">
        <w:tc>
          <w:tcPr>
            <w:tcW w:w="1980" w:type="dxa"/>
          </w:tcPr>
          <w:p w14:paraId="015BEC15" w14:textId="77777777" w:rsidR="00D73BCE" w:rsidRPr="00DF2815" w:rsidRDefault="00D73BCE" w:rsidP="00D9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Tehnologija</w:t>
            </w:r>
          </w:p>
        </w:tc>
        <w:tc>
          <w:tcPr>
            <w:tcW w:w="8100" w:type="dxa"/>
          </w:tcPr>
          <w:p w14:paraId="3E7C9E65" w14:textId="32B139D4" w:rsidR="00D73BCE" w:rsidRPr="00DF2815" w:rsidRDefault="00D73BCE" w:rsidP="00D90FA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Sve </w:t>
            </w:r>
            <w:r w:rsidR="003E446C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posebne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informacije ili znanja (u </w:t>
            </w:r>
            <w:r w:rsidR="00DC0EBB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materijalnom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obliku, kao što su modeli, prototipovi, crteži, skice, dijagrami, nacrti, priručnici, softver ili u </w:t>
            </w:r>
            <w:r w:rsidR="00DC0EBB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nematerijalnom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obliku, kao što su obuke ili tehničke usluge) potrebn</w:t>
            </w:r>
            <w:r w:rsidR="00B56D34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za razvoj, proizvodnju ili </w:t>
            </w:r>
            <w:r w:rsidR="00067928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uporabu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</w:t>
            </w:r>
            <w:r w:rsidR="00B56D34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određene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robe, ali ne i sam</w:t>
            </w:r>
            <w:r w:rsidR="00B56D34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rob</w:t>
            </w:r>
            <w:r w:rsidR="00B56D34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. Informacije se nalaze u obliku tehničkih podataka ili tehničke </w:t>
            </w:r>
            <w:r w:rsidR="00067928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ispomoći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.</w:t>
            </w:r>
          </w:p>
        </w:tc>
      </w:tr>
      <w:tr w:rsidR="00D73BCE" w14:paraId="20B187BE" w14:textId="77777777" w:rsidTr="00D90FAB">
        <w:tc>
          <w:tcPr>
            <w:tcW w:w="1980" w:type="dxa"/>
          </w:tcPr>
          <w:p w14:paraId="0FFAE3FC" w14:textId="77777777" w:rsidR="00D73BCE" w:rsidRPr="00DF2815" w:rsidRDefault="00D73BCE" w:rsidP="00D9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Tehnički podaci</w:t>
            </w:r>
          </w:p>
        </w:tc>
        <w:tc>
          <w:tcPr>
            <w:tcW w:w="8100" w:type="dxa"/>
          </w:tcPr>
          <w:p w14:paraId="2708E27C" w14:textId="6CC4CFAF" w:rsidR="00D73BCE" w:rsidRPr="00A22350" w:rsidRDefault="00D73BCE" w:rsidP="00D90FAB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Informacije potrebne za dizajniranje, razvoj, proizvodnju, izradu, sastavljanje, rad, popravak, testiranje, održavanje ili izmjenu kontroliran</w:t>
            </w:r>
            <w:r w:rsidR="00E30F5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e robe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. To uključuje informacije u obliku nacrta, planova, dijagrama, modela, matematičkih formula, tablica, inženjerskih dizajna i specifikacija, priručnika i uputa napisanih ili zabilježenih na drugim medijima ili uređajima kao što su disk, vrpca ili memorije iz kojih se podaci mogu samo čitati (ROM). Tehnički podaci mogu se prenositi putem </w:t>
            </w:r>
            <w:r w:rsidR="00E30F5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materijalnih ili nematerijalnih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sredstava. </w:t>
            </w:r>
            <w:r w:rsidRPr="00DF28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r-HR"/>
              </w:rPr>
              <w:t>Napomena: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</w:t>
            </w:r>
            <w:r w:rsidRPr="00DF2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r-HR"/>
              </w:rPr>
              <w:t xml:space="preserve">Može doći do </w:t>
            </w:r>
            <w:r w:rsidR="002865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r-HR"/>
              </w:rPr>
              <w:t>n</w:t>
            </w:r>
            <w:r w:rsidRPr="00DF2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r-HR"/>
              </w:rPr>
              <w:t>ematerijalnih prijenosa tehnologije (</w:t>
            </w:r>
            <w:r w:rsidR="008150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r-HR"/>
              </w:rPr>
              <w:t>ITT</w:t>
            </w:r>
            <w:r w:rsidRPr="00DF2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r-HR"/>
              </w:rPr>
              <w:t>) putem vizualnog, usmenog ili elektroničkog prijenosa.</w:t>
            </w:r>
          </w:p>
          <w:p w14:paraId="1AE581C5" w14:textId="55605F5D" w:rsidR="00D73BCE" w:rsidRPr="00DF2815" w:rsidRDefault="00D73BCE" w:rsidP="00D90FAB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Primjeri tehničkih podataka koji su zajednički sveučilištima/istraživačkim organizacijama:</w:t>
            </w:r>
          </w:p>
          <w:p w14:paraId="71B02A6C" w14:textId="5718DF76" w:rsidR="00D73BCE" w:rsidRPr="00DF2815" w:rsidRDefault="00D73BCE" w:rsidP="00D90FAB">
            <w:pPr>
              <w:pStyle w:val="Default"/>
              <w:numPr>
                <w:ilvl w:val="0"/>
                <w:numId w:val="1"/>
              </w:numPr>
              <w:ind w:left="5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Tehničk</w:t>
            </w:r>
            <w:r w:rsidR="003F4C3A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i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izvještaj</w:t>
            </w:r>
            <w:r w:rsidR="003F4C3A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i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, prezentacij</w:t>
            </w:r>
            <w:r w:rsidR="003F4C3A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e</w:t>
            </w:r>
            <w:r w:rsidR="006E2C6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/</w:t>
            </w:r>
            <w:proofErr w:type="spellStart"/>
            <w:r w:rsidR="006E2C6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predizdavački</w:t>
            </w:r>
            <w:proofErr w:type="spellEnd"/>
            <w:r w:rsidR="006E2C6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rukopis</w:t>
            </w:r>
            <w:r w:rsidR="003F4C3A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i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i istraživačk</w:t>
            </w:r>
            <w:r w:rsidR="003F4C3A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e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evidencije </w:t>
            </w:r>
          </w:p>
          <w:p w14:paraId="0E58527F" w14:textId="653C859E" w:rsidR="00D73BCE" w:rsidRPr="00DF2815" w:rsidRDefault="00D73BCE" w:rsidP="00D90FAB">
            <w:pPr>
              <w:pStyle w:val="Default"/>
              <w:numPr>
                <w:ilvl w:val="0"/>
                <w:numId w:val="1"/>
              </w:numPr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Projektni crteži, električni dijagrami, dokumenti o metod</w:t>
            </w:r>
            <w:r w:rsidR="006E2C6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ama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proizvodnje, dokumenti o metodi testiranja i dokumenti o metodi procjenjivanja </w:t>
            </w:r>
          </w:p>
          <w:p w14:paraId="6D617CC5" w14:textId="77777777" w:rsidR="00D73BCE" w:rsidRPr="00DF2815" w:rsidRDefault="00D73BCE" w:rsidP="00D90FAB">
            <w:pPr>
              <w:pStyle w:val="Default"/>
              <w:numPr>
                <w:ilvl w:val="0"/>
                <w:numId w:val="1"/>
              </w:numPr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Tehničke specifikacije eksperimentalne opreme </w:t>
            </w:r>
          </w:p>
          <w:p w14:paraId="4FFC78F8" w14:textId="77777777" w:rsidR="00D73BCE" w:rsidRPr="00DF2815" w:rsidRDefault="00D73BCE" w:rsidP="00D90FAB">
            <w:pPr>
              <w:pStyle w:val="Default"/>
              <w:numPr>
                <w:ilvl w:val="0"/>
                <w:numId w:val="1"/>
              </w:numPr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Eksperimentalni podaci </w:t>
            </w:r>
          </w:p>
          <w:p w14:paraId="23B98F0C" w14:textId="77777777" w:rsidR="00D73BCE" w:rsidRPr="00DF2815" w:rsidRDefault="00D73BCE" w:rsidP="00D90FAB">
            <w:pPr>
              <w:pStyle w:val="Default"/>
              <w:numPr>
                <w:ilvl w:val="0"/>
                <w:numId w:val="1"/>
              </w:numPr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Računalni i softverski programi, itd. </w:t>
            </w:r>
          </w:p>
        </w:tc>
      </w:tr>
      <w:tr w:rsidR="00D73BCE" w14:paraId="5F408A3C" w14:textId="77777777" w:rsidTr="00D90FAB">
        <w:tc>
          <w:tcPr>
            <w:tcW w:w="1980" w:type="dxa"/>
          </w:tcPr>
          <w:p w14:paraId="55B14955" w14:textId="4B5528C6" w:rsidR="00D73BCE" w:rsidRPr="00DF2815" w:rsidRDefault="00D73BCE" w:rsidP="00D9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Tehnička </w:t>
            </w:r>
            <w:r w:rsidR="00067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ispomoć</w:t>
            </w:r>
          </w:p>
        </w:tc>
        <w:tc>
          <w:tcPr>
            <w:tcW w:w="8100" w:type="dxa"/>
          </w:tcPr>
          <w:p w14:paraId="0D571C65" w14:textId="0015ABF5" w:rsidR="00D73BCE" w:rsidRDefault="00D73BCE" w:rsidP="00D90FA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Tehnička </w:t>
            </w:r>
            <w:r w:rsidR="00067928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ispomoć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može se pojaviti u obliku </w:t>
            </w:r>
            <w:r w:rsidR="00FA2073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instrukcija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, </w:t>
            </w:r>
            <w:r w:rsidR="006E2C6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osposobljavanja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, </w:t>
            </w:r>
            <w:r w:rsidR="00FA2073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radnih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znanja, konzultantskih usluga </w:t>
            </w:r>
            <w:r w:rsidR="006E2C6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te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može uključivati prijenos tehničkih podataka.</w:t>
            </w:r>
          </w:p>
          <w:p w14:paraId="61E9125A" w14:textId="676E815F" w:rsidR="00D73BCE" w:rsidRPr="00DF2815" w:rsidRDefault="00D73BCE" w:rsidP="00D90FAB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Primjeri tehničke </w:t>
            </w:r>
            <w:r w:rsidR="00067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ispomoći</w:t>
            </w:r>
            <w:r w:rsidRPr="00DF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 uobičajene za sveučilišta/istraživačke organizacije:</w:t>
            </w:r>
          </w:p>
          <w:p w14:paraId="4571E15C" w14:textId="77777777" w:rsidR="00D73BCE" w:rsidRPr="00DF2815" w:rsidRDefault="00D73BCE" w:rsidP="00D90FAB">
            <w:pPr>
              <w:pStyle w:val="Default"/>
              <w:numPr>
                <w:ilvl w:val="0"/>
                <w:numId w:val="2"/>
              </w:numPr>
              <w:ind w:left="5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Prezentacije ili tumačenja pomoću prezentacijskog softvera </w:t>
            </w:r>
          </w:p>
          <w:p w14:paraId="3CDF5805" w14:textId="66FBA7CB" w:rsidR="00D73BCE" w:rsidRPr="00DF2815" w:rsidRDefault="00D73BCE" w:rsidP="00D90FAB">
            <w:pPr>
              <w:pStyle w:val="Default"/>
              <w:numPr>
                <w:ilvl w:val="0"/>
                <w:numId w:val="2"/>
              </w:numPr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Usmene prezentacije </w:t>
            </w:r>
            <w:r w:rsidR="0016258F"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istraživanja, poduke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na temelju vještina, itd.</w:t>
            </w:r>
          </w:p>
        </w:tc>
      </w:tr>
      <w:tr w:rsidR="00D73BCE" w14:paraId="4B304FCF" w14:textId="77777777" w:rsidTr="00D90FAB">
        <w:trPr>
          <w:trHeight w:val="980"/>
        </w:trPr>
        <w:tc>
          <w:tcPr>
            <w:tcW w:w="1980" w:type="dxa"/>
          </w:tcPr>
          <w:p w14:paraId="4A041882" w14:textId="37922406" w:rsidR="00D73BCE" w:rsidRPr="00DF2815" w:rsidRDefault="00D73BCE" w:rsidP="00D9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F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Nematerijalni prijenos tehnologije</w:t>
            </w:r>
            <w:r w:rsidR="006E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 (ITT)</w:t>
            </w:r>
          </w:p>
        </w:tc>
        <w:tc>
          <w:tcPr>
            <w:tcW w:w="8100" w:type="dxa"/>
          </w:tcPr>
          <w:p w14:paraId="1A2CFE9B" w14:textId="3A7B2D05" w:rsidR="00D73BCE" w:rsidRPr="00DF2815" w:rsidRDefault="00D73BCE" w:rsidP="00D90FA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Prijenos kontroliranih tehnologija, informacija ili znanja putem </w:t>
            </w:r>
            <w:r w:rsidR="006E2C6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nematerijalnih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sredstava (elektroničkih, vizualnih ili usmenih)</w:t>
            </w:r>
            <w:r w:rsidR="006E2C6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,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uključuje pružanje tehničkih detalja i shema, projektiranja, predavanja i sličnih znanja (tehnički podaci) kroz obrazovanje, obuku ili uput</w:t>
            </w:r>
            <w:r w:rsidR="006E2C6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e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(tehnička </w:t>
            </w:r>
            <w:r w:rsidR="00067928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ispomoć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).</w:t>
            </w:r>
          </w:p>
        </w:tc>
      </w:tr>
      <w:tr w:rsidR="00D73BCE" w14:paraId="62BB725C" w14:textId="77777777" w:rsidTr="00D90FAB">
        <w:trPr>
          <w:trHeight w:val="980"/>
        </w:trPr>
        <w:tc>
          <w:tcPr>
            <w:tcW w:w="1980" w:type="dxa"/>
          </w:tcPr>
          <w:p w14:paraId="17728754" w14:textId="054978A6" w:rsidR="00D73BCE" w:rsidRPr="00DF2815" w:rsidRDefault="000803DD" w:rsidP="00D9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Prikriveni</w:t>
            </w:r>
            <w:r w:rsidR="00D73BCE" w:rsidRPr="00DF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 xml:space="preserve"> izvoz </w:t>
            </w:r>
          </w:p>
        </w:tc>
        <w:tc>
          <w:tcPr>
            <w:tcW w:w="8100" w:type="dxa"/>
          </w:tcPr>
          <w:p w14:paraId="1FBE4DCD" w14:textId="3354440B" w:rsidR="00D73BCE" w:rsidRPr="00DF2815" w:rsidRDefault="00076FB0" w:rsidP="00D90FA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Prikriveni</w:t>
            </w:r>
            <w:bookmarkStart w:id="0" w:name="_GoBack"/>
            <w:bookmarkEnd w:id="0"/>
            <w:r w:rsidR="00D73BCE"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izvoz je ustupanje tehnologije ili informacija stranom državljaninu unutar zemlje izvoznice. Mnoge </w:t>
            </w:r>
            <w:r w:rsidR="00A4795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nacionalne vlade</w:t>
            </w:r>
            <w:r w:rsidR="00D73BCE"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, poput </w:t>
            </w:r>
            <w:r w:rsidR="00A4795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Vlade SAD-a</w:t>
            </w:r>
            <w:r w:rsidR="00D73BCE"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, zahtijevaju od poduzeća da pri</w:t>
            </w:r>
            <w:r w:rsidR="00A4795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bave</w:t>
            </w:r>
            <w:r w:rsidR="00D73BCE"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posebne dozvole prije nego što inozemni državljani mogu pristupiti kontroliranim tehnologijama ili informacijama, čak i ako isti borave u toj državi i rade za to poduzeće.</w:t>
            </w:r>
          </w:p>
        </w:tc>
      </w:tr>
      <w:tr w:rsidR="00D73BCE" w14:paraId="115920A5" w14:textId="77777777" w:rsidTr="00D90FAB">
        <w:trPr>
          <w:trHeight w:val="980"/>
        </w:trPr>
        <w:tc>
          <w:tcPr>
            <w:tcW w:w="1980" w:type="dxa"/>
          </w:tcPr>
          <w:p w14:paraId="4C1F18CD" w14:textId="77777777" w:rsidR="00D73BCE" w:rsidRPr="00DF2815" w:rsidRDefault="00D73BCE" w:rsidP="00D9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Strani državljanin</w:t>
            </w:r>
          </w:p>
        </w:tc>
        <w:tc>
          <w:tcPr>
            <w:tcW w:w="8100" w:type="dxa"/>
          </w:tcPr>
          <w:p w14:paraId="60074118" w14:textId="2B8C4C4D" w:rsidR="00D73BCE" w:rsidRPr="00DF2815" w:rsidRDefault="00D73BCE" w:rsidP="00D90FA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>1) osoba koja zakonski nema staln</w:t>
            </w:r>
            <w:r w:rsidR="00334D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>i</w:t>
            </w:r>
            <w:r w:rsidRPr="00DF2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 xml:space="preserve"> </w:t>
            </w:r>
            <w:r w:rsidR="00334D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>boravak</w:t>
            </w:r>
            <w:r w:rsidRPr="00DF2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 xml:space="preserve"> u nekoj zemlji, </w:t>
            </w:r>
            <w:r w:rsidR="00334D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 xml:space="preserve">nije </w:t>
            </w:r>
            <w:r w:rsidR="00541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 xml:space="preserve">njezin </w:t>
            </w:r>
            <w:r w:rsidRPr="00DF2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 xml:space="preserve">državljanin </w:t>
            </w:r>
            <w:r w:rsidR="00541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>i ne</w:t>
            </w:r>
            <w:r w:rsidRPr="00DF2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 xml:space="preserve"> pripada toj nacionalnosti, 2) inozemni subjekt (</w:t>
            </w:r>
            <w:r w:rsidR="00541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>poduzeće</w:t>
            </w:r>
            <w:r w:rsidRPr="00DF2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>, poslovna udruga, partnerstvo</w:t>
            </w:r>
            <w:r w:rsidR="00541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>,</w:t>
            </w:r>
            <w:r w:rsidRPr="00DF2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 xml:space="preserve"> itd.) koji nije osnovan ili ustrojen za poslovanje u vašoj zemlji ili 3) međunarodna organizacija, strana vlada ili agencija ili </w:t>
            </w:r>
            <w:r w:rsidR="00541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>tijelo</w:t>
            </w:r>
            <w:r w:rsidRPr="00DF2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 xml:space="preserve"> strane vlade.</w:t>
            </w:r>
          </w:p>
        </w:tc>
      </w:tr>
      <w:tr w:rsidR="00D73BCE" w14:paraId="37E6AFA0" w14:textId="77777777" w:rsidTr="00D90FAB">
        <w:trPr>
          <w:trHeight w:val="755"/>
        </w:trPr>
        <w:tc>
          <w:tcPr>
            <w:tcW w:w="1980" w:type="dxa"/>
          </w:tcPr>
          <w:p w14:paraId="23461523" w14:textId="77777777" w:rsidR="00D73BCE" w:rsidRPr="00DF2815" w:rsidRDefault="00D73BCE" w:rsidP="00D9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Osnovno znanstveno istraživanje</w:t>
            </w:r>
          </w:p>
        </w:tc>
        <w:tc>
          <w:tcPr>
            <w:tcW w:w="8100" w:type="dxa"/>
          </w:tcPr>
          <w:p w14:paraId="52A5A639" w14:textId="01F289F6" w:rsidR="00D73BCE" w:rsidRPr="00DF2815" w:rsidRDefault="00D73BCE" w:rsidP="00D90FA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Eksperimentalni ili teoretski rad koji se prvenstveno provodi radi stjecanja novog znanja o temeljnim načelima fenomena ili vidljivih činjenica, </w:t>
            </w:r>
            <w:r w:rsidR="0054159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a koji nije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prvenstveno usmjeren prema određenom praktičnom cilju ili određenoj svrsi.</w:t>
            </w:r>
          </w:p>
        </w:tc>
      </w:tr>
      <w:tr w:rsidR="00D73BCE" w14:paraId="61EFE06D" w14:textId="77777777" w:rsidTr="00D90FAB">
        <w:trPr>
          <w:trHeight w:val="260"/>
        </w:trPr>
        <w:tc>
          <w:tcPr>
            <w:tcW w:w="1980" w:type="dxa"/>
          </w:tcPr>
          <w:p w14:paraId="27EC5B94" w14:textId="7A03461C" w:rsidR="00D73BCE" w:rsidRPr="00DF2815" w:rsidRDefault="00D73BCE" w:rsidP="00D9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Temeljno istraživanje</w:t>
            </w:r>
          </w:p>
        </w:tc>
        <w:tc>
          <w:tcPr>
            <w:tcW w:w="8100" w:type="dxa"/>
          </w:tcPr>
          <w:p w14:paraId="3181F710" w14:textId="40AAFF72" w:rsidR="00D73BCE" w:rsidRPr="00DF2815" w:rsidRDefault="00D73BCE" w:rsidP="00D90FA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Osnovno ili primijenjeno istraživanje u znanosti i inženjerstvu (obično se izvodi ili provodi u akreditiranoj akademskoj instituciji) gdje se dobivene informacije obično objavljuju i naširoko dijele unutar znanstvene zajednice. Temeljno istraživanje razlikuje se od istraživanja koje dovodi do informacija koje su ograničene zbog zaštite privatnosti </w:t>
            </w:r>
            <w:r w:rsidR="00CF17E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i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li </w:t>
            </w:r>
            <w:r w:rsidR="00CF17E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zbog 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nacionalne sigurnosti te stoga n</w:t>
            </w:r>
            <w:r w:rsidR="00CF17E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i</w:t>
            </w:r>
            <w:r w:rsidR="0054159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je</w:t>
            </w:r>
            <w:r w:rsidR="00CF17E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podložn</w:t>
            </w:r>
            <w:r w:rsidR="0054159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o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stratešk</w:t>
            </w:r>
            <w:r w:rsidR="0054159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oj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kontrol</w:t>
            </w:r>
            <w:r w:rsidR="0054159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i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 xml:space="preserve"> </w:t>
            </w:r>
            <w:r w:rsidR="00541597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trgovine</w:t>
            </w:r>
            <w:r w:rsidRPr="00DF2815">
              <w:rPr>
                <w:rFonts w:ascii="Times New Roman" w:eastAsia="Times New Roman" w:hAnsi="Times New Roman" w:cs="Times New Roman"/>
                <w:sz w:val="20"/>
                <w:szCs w:val="20"/>
                <w:lang w:bidi="hr-HR"/>
              </w:rPr>
              <w:t>.</w:t>
            </w:r>
          </w:p>
        </w:tc>
      </w:tr>
      <w:tr w:rsidR="00D73BCE" w14:paraId="24FEF1E5" w14:textId="77777777" w:rsidTr="00D90FAB">
        <w:trPr>
          <w:trHeight w:val="638"/>
        </w:trPr>
        <w:tc>
          <w:tcPr>
            <w:tcW w:w="1980" w:type="dxa"/>
          </w:tcPr>
          <w:p w14:paraId="4A81979B" w14:textId="77777777" w:rsidR="00D73BCE" w:rsidRPr="00DF2815" w:rsidRDefault="00D73BCE" w:rsidP="00D9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r-HR"/>
              </w:rPr>
              <w:t>U javnoj domeni</w:t>
            </w:r>
          </w:p>
        </w:tc>
        <w:tc>
          <w:tcPr>
            <w:tcW w:w="8100" w:type="dxa"/>
          </w:tcPr>
          <w:p w14:paraId="68A1DF43" w14:textId="6EDC6D4D" w:rsidR="00D73BCE" w:rsidRPr="00DF2815" w:rsidRDefault="00D73BCE" w:rsidP="00D90FA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2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 xml:space="preserve">Podaci koji su objavljeni i koji su općenito dostupni ili na raspolaganju javnosti. To uključuje tehnologiju ili softver koji su dostupni </w:t>
            </w:r>
            <w:r w:rsidR="00541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 xml:space="preserve">za javnu uporabu </w:t>
            </w:r>
            <w:r w:rsidRPr="00DF2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>bez ograničenja</w:t>
            </w:r>
            <w:r w:rsidR="00541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 xml:space="preserve"> na njihovu daljnju distribuciju</w:t>
            </w:r>
            <w:r w:rsidRPr="00DF2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hr-HR"/>
              </w:rPr>
              <w:t>.</w:t>
            </w:r>
          </w:p>
        </w:tc>
      </w:tr>
    </w:tbl>
    <w:p w14:paraId="248027C8" w14:textId="398BEB56" w:rsidR="00A64B6C" w:rsidRPr="00D73BCE" w:rsidRDefault="00A64B6C" w:rsidP="00D73BCE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A64B6C" w:rsidRPr="00D73BCE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A282E" w14:textId="77777777" w:rsidR="00526159" w:rsidRDefault="00526159" w:rsidP="000C4F5C">
      <w:pPr>
        <w:spacing w:after="0" w:line="240" w:lineRule="auto"/>
      </w:pPr>
      <w:r>
        <w:separator/>
      </w:r>
    </w:p>
  </w:endnote>
  <w:endnote w:type="continuationSeparator" w:id="0">
    <w:p w14:paraId="4DD8B910" w14:textId="77777777" w:rsidR="00526159" w:rsidRDefault="00526159" w:rsidP="000C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51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F25D5" w14:textId="6983F1B9" w:rsidR="002D7BE9" w:rsidRDefault="002D7BE9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3F52C9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07FB3805" w14:textId="77777777" w:rsidR="002D7BE9" w:rsidRDefault="002D7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0CA92" w14:textId="77777777" w:rsidR="00526159" w:rsidRDefault="00526159" w:rsidP="000C4F5C">
      <w:pPr>
        <w:spacing w:after="0" w:line="240" w:lineRule="auto"/>
      </w:pPr>
      <w:r>
        <w:separator/>
      </w:r>
    </w:p>
  </w:footnote>
  <w:footnote w:type="continuationSeparator" w:id="0">
    <w:p w14:paraId="3F140DC9" w14:textId="77777777" w:rsidR="00526159" w:rsidRDefault="00526159" w:rsidP="000C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506"/>
    <w:multiLevelType w:val="hybridMultilevel"/>
    <w:tmpl w:val="10ECA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FF2"/>
    <w:multiLevelType w:val="hybridMultilevel"/>
    <w:tmpl w:val="A9C0A4B8"/>
    <w:lvl w:ilvl="0" w:tplc="97C29B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018"/>
    <w:multiLevelType w:val="hybridMultilevel"/>
    <w:tmpl w:val="966C5648"/>
    <w:lvl w:ilvl="0" w:tplc="C29A19A6">
      <w:start w:val="1"/>
      <w:numFmt w:val="bullet"/>
      <w:lvlText w:val=""/>
      <w:lvlJc w:val="left"/>
      <w:pPr>
        <w:ind w:left="216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 w:tplc="82E61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117EB"/>
    <w:multiLevelType w:val="hybridMultilevel"/>
    <w:tmpl w:val="9B04847C"/>
    <w:lvl w:ilvl="0" w:tplc="2C1A30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0E64522"/>
    <w:multiLevelType w:val="hybridMultilevel"/>
    <w:tmpl w:val="E70C7B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30B4C"/>
    <w:multiLevelType w:val="hybridMultilevel"/>
    <w:tmpl w:val="2F346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C3D"/>
    <w:multiLevelType w:val="hybridMultilevel"/>
    <w:tmpl w:val="9E9A0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30C4"/>
    <w:multiLevelType w:val="hybridMultilevel"/>
    <w:tmpl w:val="06ECE5E2"/>
    <w:lvl w:ilvl="0" w:tplc="9CC4B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C4D41"/>
    <w:multiLevelType w:val="hybridMultilevel"/>
    <w:tmpl w:val="B44A0B24"/>
    <w:lvl w:ilvl="0" w:tplc="C64AA5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926A6C"/>
    <w:multiLevelType w:val="hybridMultilevel"/>
    <w:tmpl w:val="45D8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43FBB"/>
    <w:multiLevelType w:val="hybridMultilevel"/>
    <w:tmpl w:val="481A82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9042B"/>
    <w:multiLevelType w:val="hybridMultilevel"/>
    <w:tmpl w:val="9D9619B0"/>
    <w:lvl w:ilvl="0" w:tplc="CC80D6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85BAC"/>
    <w:multiLevelType w:val="hybridMultilevel"/>
    <w:tmpl w:val="956E12D8"/>
    <w:lvl w:ilvl="0" w:tplc="63CA91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375054"/>
    <w:multiLevelType w:val="hybridMultilevel"/>
    <w:tmpl w:val="DB0E4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1AF9"/>
    <w:multiLevelType w:val="hybridMultilevel"/>
    <w:tmpl w:val="132A7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07610"/>
    <w:multiLevelType w:val="hybridMultilevel"/>
    <w:tmpl w:val="F6AA7C0A"/>
    <w:lvl w:ilvl="0" w:tplc="12EAE0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1AE5"/>
    <w:multiLevelType w:val="hybridMultilevel"/>
    <w:tmpl w:val="3FD09AD4"/>
    <w:lvl w:ilvl="0" w:tplc="56824E6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01D5713"/>
    <w:multiLevelType w:val="hybridMultilevel"/>
    <w:tmpl w:val="AD3C7DD6"/>
    <w:lvl w:ilvl="0" w:tplc="FA286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A3DC2"/>
    <w:multiLevelType w:val="hybridMultilevel"/>
    <w:tmpl w:val="EB4A287C"/>
    <w:lvl w:ilvl="0" w:tplc="2C1A3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D19E5"/>
    <w:multiLevelType w:val="hybridMultilevel"/>
    <w:tmpl w:val="48B01682"/>
    <w:lvl w:ilvl="0" w:tplc="D186C1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18"/>
  </w:num>
  <w:num w:numId="10">
    <w:abstractNumId w:val="3"/>
  </w:num>
  <w:num w:numId="11">
    <w:abstractNumId w:val="21"/>
  </w:num>
  <w:num w:numId="12">
    <w:abstractNumId w:val="19"/>
  </w:num>
  <w:num w:numId="13">
    <w:abstractNumId w:val="7"/>
  </w:num>
  <w:num w:numId="14">
    <w:abstractNumId w:val="15"/>
  </w:num>
  <w:num w:numId="15">
    <w:abstractNumId w:val="13"/>
  </w:num>
  <w:num w:numId="16">
    <w:abstractNumId w:val="0"/>
  </w:num>
  <w:num w:numId="17">
    <w:abstractNumId w:val="20"/>
  </w:num>
  <w:num w:numId="18">
    <w:abstractNumId w:val="4"/>
  </w:num>
  <w:num w:numId="19">
    <w:abstractNumId w:val="5"/>
  </w:num>
  <w:num w:numId="20">
    <w:abstractNumId w:val="11"/>
  </w:num>
  <w:num w:numId="21">
    <w:abstractNumId w:val="10"/>
  </w:num>
  <w:num w:numId="22">
    <w:abstractNumId w:val="16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1C"/>
    <w:rsid w:val="0000444A"/>
    <w:rsid w:val="000075F4"/>
    <w:rsid w:val="00030FEF"/>
    <w:rsid w:val="000672EA"/>
    <w:rsid w:val="00067928"/>
    <w:rsid w:val="00076FB0"/>
    <w:rsid w:val="000803DD"/>
    <w:rsid w:val="00087F04"/>
    <w:rsid w:val="000B7B45"/>
    <w:rsid w:val="000C0CB3"/>
    <w:rsid w:val="000C4A65"/>
    <w:rsid w:val="000C4F5C"/>
    <w:rsid w:val="000C5692"/>
    <w:rsid w:val="000F3ACE"/>
    <w:rsid w:val="000F4C0D"/>
    <w:rsid w:val="000F7F3B"/>
    <w:rsid w:val="00110FD4"/>
    <w:rsid w:val="001434BC"/>
    <w:rsid w:val="0016258F"/>
    <w:rsid w:val="0016360F"/>
    <w:rsid w:val="001651EC"/>
    <w:rsid w:val="00166AD5"/>
    <w:rsid w:val="00186C4F"/>
    <w:rsid w:val="001923E4"/>
    <w:rsid w:val="00197ADE"/>
    <w:rsid w:val="001A5F84"/>
    <w:rsid w:val="001A6D24"/>
    <w:rsid w:val="001C5B62"/>
    <w:rsid w:val="001E3E05"/>
    <w:rsid w:val="001E688D"/>
    <w:rsid w:val="001F1102"/>
    <w:rsid w:val="001F4F03"/>
    <w:rsid w:val="001F78F2"/>
    <w:rsid w:val="00213D85"/>
    <w:rsid w:val="00216E57"/>
    <w:rsid w:val="0022241E"/>
    <w:rsid w:val="00227774"/>
    <w:rsid w:val="0024061E"/>
    <w:rsid w:val="002408DC"/>
    <w:rsid w:val="00241D24"/>
    <w:rsid w:val="002449C7"/>
    <w:rsid w:val="002705FE"/>
    <w:rsid w:val="0027726F"/>
    <w:rsid w:val="002801E5"/>
    <w:rsid w:val="00283256"/>
    <w:rsid w:val="002865FD"/>
    <w:rsid w:val="00295E39"/>
    <w:rsid w:val="002B2F1E"/>
    <w:rsid w:val="002D6BC7"/>
    <w:rsid w:val="002D7BE9"/>
    <w:rsid w:val="002F0D30"/>
    <w:rsid w:val="002F68BE"/>
    <w:rsid w:val="00304091"/>
    <w:rsid w:val="0031590D"/>
    <w:rsid w:val="00331DE6"/>
    <w:rsid w:val="00334D3E"/>
    <w:rsid w:val="00340C88"/>
    <w:rsid w:val="003439E7"/>
    <w:rsid w:val="00352796"/>
    <w:rsid w:val="00355D68"/>
    <w:rsid w:val="00373730"/>
    <w:rsid w:val="00376293"/>
    <w:rsid w:val="00387277"/>
    <w:rsid w:val="0039601E"/>
    <w:rsid w:val="003B39A4"/>
    <w:rsid w:val="003C75E5"/>
    <w:rsid w:val="003D3636"/>
    <w:rsid w:val="003D546D"/>
    <w:rsid w:val="003E0233"/>
    <w:rsid w:val="003E446C"/>
    <w:rsid w:val="003E59B0"/>
    <w:rsid w:val="003F4C3A"/>
    <w:rsid w:val="003F52C9"/>
    <w:rsid w:val="004067A0"/>
    <w:rsid w:val="00410979"/>
    <w:rsid w:val="00420197"/>
    <w:rsid w:val="00426A66"/>
    <w:rsid w:val="004350A7"/>
    <w:rsid w:val="0043717C"/>
    <w:rsid w:val="00444166"/>
    <w:rsid w:val="004533B5"/>
    <w:rsid w:val="0045663B"/>
    <w:rsid w:val="00456928"/>
    <w:rsid w:val="00462947"/>
    <w:rsid w:val="00465A63"/>
    <w:rsid w:val="00471F3A"/>
    <w:rsid w:val="0047207A"/>
    <w:rsid w:val="0047690E"/>
    <w:rsid w:val="0049224C"/>
    <w:rsid w:val="00496235"/>
    <w:rsid w:val="004A0153"/>
    <w:rsid w:val="004B7BDA"/>
    <w:rsid w:val="004C1BC8"/>
    <w:rsid w:val="004C46D6"/>
    <w:rsid w:val="004D158D"/>
    <w:rsid w:val="004D4CC2"/>
    <w:rsid w:val="004E6FEA"/>
    <w:rsid w:val="0050306F"/>
    <w:rsid w:val="00512E8F"/>
    <w:rsid w:val="00515985"/>
    <w:rsid w:val="00525210"/>
    <w:rsid w:val="00526159"/>
    <w:rsid w:val="00541597"/>
    <w:rsid w:val="00551226"/>
    <w:rsid w:val="005560AA"/>
    <w:rsid w:val="00561660"/>
    <w:rsid w:val="005853AD"/>
    <w:rsid w:val="005A27FF"/>
    <w:rsid w:val="005B1324"/>
    <w:rsid w:val="005C356A"/>
    <w:rsid w:val="005C369E"/>
    <w:rsid w:val="005C4736"/>
    <w:rsid w:val="005E0455"/>
    <w:rsid w:val="005E6E68"/>
    <w:rsid w:val="005F5C9E"/>
    <w:rsid w:val="0061390B"/>
    <w:rsid w:val="00613A4D"/>
    <w:rsid w:val="006271DC"/>
    <w:rsid w:val="00634150"/>
    <w:rsid w:val="006840C9"/>
    <w:rsid w:val="006D7FDD"/>
    <w:rsid w:val="006E2C67"/>
    <w:rsid w:val="006E5D72"/>
    <w:rsid w:val="006E6654"/>
    <w:rsid w:val="006F6ACD"/>
    <w:rsid w:val="00704641"/>
    <w:rsid w:val="00731DDE"/>
    <w:rsid w:val="007531E4"/>
    <w:rsid w:val="00754CB2"/>
    <w:rsid w:val="007778B2"/>
    <w:rsid w:val="00790C1A"/>
    <w:rsid w:val="007A2C83"/>
    <w:rsid w:val="007A6763"/>
    <w:rsid w:val="007C1445"/>
    <w:rsid w:val="007C53D1"/>
    <w:rsid w:val="007D63FA"/>
    <w:rsid w:val="007E0032"/>
    <w:rsid w:val="007E6AC6"/>
    <w:rsid w:val="007F0CFE"/>
    <w:rsid w:val="00812A4A"/>
    <w:rsid w:val="00815091"/>
    <w:rsid w:val="00827C71"/>
    <w:rsid w:val="008358E8"/>
    <w:rsid w:val="008508B9"/>
    <w:rsid w:val="00865F34"/>
    <w:rsid w:val="00876EC3"/>
    <w:rsid w:val="008828B9"/>
    <w:rsid w:val="00884308"/>
    <w:rsid w:val="0089141C"/>
    <w:rsid w:val="00892616"/>
    <w:rsid w:val="00897F1F"/>
    <w:rsid w:val="008A2B65"/>
    <w:rsid w:val="008B6EEA"/>
    <w:rsid w:val="008C4E8F"/>
    <w:rsid w:val="008D3DC5"/>
    <w:rsid w:val="008D6913"/>
    <w:rsid w:val="008E7BAC"/>
    <w:rsid w:val="008F0FCE"/>
    <w:rsid w:val="008F1F83"/>
    <w:rsid w:val="008F7CD3"/>
    <w:rsid w:val="0090008D"/>
    <w:rsid w:val="0092491B"/>
    <w:rsid w:val="00970A02"/>
    <w:rsid w:val="009846C9"/>
    <w:rsid w:val="00986FF8"/>
    <w:rsid w:val="0099119E"/>
    <w:rsid w:val="00994C08"/>
    <w:rsid w:val="009B4ACF"/>
    <w:rsid w:val="009C0ABE"/>
    <w:rsid w:val="009C69AC"/>
    <w:rsid w:val="009D1B93"/>
    <w:rsid w:val="009F0CEF"/>
    <w:rsid w:val="009F4DE6"/>
    <w:rsid w:val="00A217F9"/>
    <w:rsid w:val="00A22350"/>
    <w:rsid w:val="00A26D0D"/>
    <w:rsid w:val="00A415CC"/>
    <w:rsid w:val="00A47957"/>
    <w:rsid w:val="00A573DE"/>
    <w:rsid w:val="00A61C06"/>
    <w:rsid w:val="00A64B6C"/>
    <w:rsid w:val="00A765FB"/>
    <w:rsid w:val="00A815C1"/>
    <w:rsid w:val="00A94FFA"/>
    <w:rsid w:val="00AB0CB8"/>
    <w:rsid w:val="00AB5DB7"/>
    <w:rsid w:val="00AB789A"/>
    <w:rsid w:val="00AC7E99"/>
    <w:rsid w:val="00AF58D6"/>
    <w:rsid w:val="00B00D28"/>
    <w:rsid w:val="00B0536D"/>
    <w:rsid w:val="00B102FD"/>
    <w:rsid w:val="00B17983"/>
    <w:rsid w:val="00B241AD"/>
    <w:rsid w:val="00B25A06"/>
    <w:rsid w:val="00B411F1"/>
    <w:rsid w:val="00B5383C"/>
    <w:rsid w:val="00B56D34"/>
    <w:rsid w:val="00B57A10"/>
    <w:rsid w:val="00B64888"/>
    <w:rsid w:val="00B77C5C"/>
    <w:rsid w:val="00BA1777"/>
    <w:rsid w:val="00BB757F"/>
    <w:rsid w:val="00BC5C0D"/>
    <w:rsid w:val="00BD5273"/>
    <w:rsid w:val="00BF040E"/>
    <w:rsid w:val="00C12428"/>
    <w:rsid w:val="00C13A61"/>
    <w:rsid w:val="00C177F7"/>
    <w:rsid w:val="00C20846"/>
    <w:rsid w:val="00C30625"/>
    <w:rsid w:val="00C43779"/>
    <w:rsid w:val="00C43BE4"/>
    <w:rsid w:val="00C46277"/>
    <w:rsid w:val="00C642DA"/>
    <w:rsid w:val="00C76B3F"/>
    <w:rsid w:val="00C82A9A"/>
    <w:rsid w:val="00C834BE"/>
    <w:rsid w:val="00CB5085"/>
    <w:rsid w:val="00CD257F"/>
    <w:rsid w:val="00CF0055"/>
    <w:rsid w:val="00CF17E7"/>
    <w:rsid w:val="00CF56FC"/>
    <w:rsid w:val="00CF72D7"/>
    <w:rsid w:val="00D40A47"/>
    <w:rsid w:val="00D55D58"/>
    <w:rsid w:val="00D73BCE"/>
    <w:rsid w:val="00D87930"/>
    <w:rsid w:val="00D93A9A"/>
    <w:rsid w:val="00D94D5A"/>
    <w:rsid w:val="00DA542A"/>
    <w:rsid w:val="00DC0EBB"/>
    <w:rsid w:val="00DE091A"/>
    <w:rsid w:val="00DE2441"/>
    <w:rsid w:val="00DE72D8"/>
    <w:rsid w:val="00DF2815"/>
    <w:rsid w:val="00E13B22"/>
    <w:rsid w:val="00E15EF1"/>
    <w:rsid w:val="00E300B0"/>
    <w:rsid w:val="00E30F57"/>
    <w:rsid w:val="00E373D8"/>
    <w:rsid w:val="00E42B75"/>
    <w:rsid w:val="00E43900"/>
    <w:rsid w:val="00E55B69"/>
    <w:rsid w:val="00E702C5"/>
    <w:rsid w:val="00E71A8F"/>
    <w:rsid w:val="00E74C22"/>
    <w:rsid w:val="00E81D47"/>
    <w:rsid w:val="00E90B7D"/>
    <w:rsid w:val="00EA6DBC"/>
    <w:rsid w:val="00EB467C"/>
    <w:rsid w:val="00ED3953"/>
    <w:rsid w:val="00EE2959"/>
    <w:rsid w:val="00EE369D"/>
    <w:rsid w:val="00EE504A"/>
    <w:rsid w:val="00EF148D"/>
    <w:rsid w:val="00F01245"/>
    <w:rsid w:val="00F01778"/>
    <w:rsid w:val="00F05741"/>
    <w:rsid w:val="00F1570A"/>
    <w:rsid w:val="00F25A90"/>
    <w:rsid w:val="00F42F05"/>
    <w:rsid w:val="00F5375B"/>
    <w:rsid w:val="00F6250A"/>
    <w:rsid w:val="00F633D1"/>
    <w:rsid w:val="00F71A51"/>
    <w:rsid w:val="00F80063"/>
    <w:rsid w:val="00FA1DF3"/>
    <w:rsid w:val="00FA2073"/>
    <w:rsid w:val="00FC1D23"/>
    <w:rsid w:val="00FD356C"/>
    <w:rsid w:val="00FE036A"/>
    <w:rsid w:val="00FE1776"/>
    <w:rsid w:val="00FE74B4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70B2A"/>
  <w15:docId w15:val="{4E7162ED-6A2C-427D-92AE-728704EE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F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F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4F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7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7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4888"/>
    <w:rPr>
      <w:color w:val="800080" w:themeColor="followedHyperlink"/>
      <w:u w:val="single"/>
    </w:rPr>
  </w:style>
  <w:style w:type="paragraph" w:customStyle="1" w:styleId="Default">
    <w:name w:val="Default"/>
    <w:rsid w:val="0024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7F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7F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7FDD"/>
    <w:rPr>
      <w:vertAlign w:val="superscript"/>
    </w:rPr>
  </w:style>
  <w:style w:type="table" w:styleId="TableGrid">
    <w:name w:val="Table Grid"/>
    <w:basedOn w:val="TableNormal"/>
    <w:uiPriority w:val="59"/>
    <w:rsid w:val="004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88"/>
  </w:style>
  <w:style w:type="paragraph" w:styleId="Footer">
    <w:name w:val="footer"/>
    <w:basedOn w:val="Normal"/>
    <w:link w:val="Foot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511F1C-1DFA-4FB9-86A9-6A96CE16B839}"/>
</file>

<file path=customXml/itemProps2.xml><?xml version="1.0" encoding="utf-8"?>
<ds:datastoreItem xmlns:ds="http://schemas.openxmlformats.org/officeDocument/2006/customXml" ds:itemID="{590AAD7C-7E2F-4EF5-9262-4E3E5B6FD02E}"/>
</file>

<file path=customXml/itemProps3.xml><?xml version="1.0" encoding="utf-8"?>
<ds:datastoreItem xmlns:ds="http://schemas.openxmlformats.org/officeDocument/2006/customXml" ds:itemID="{6C95FE05-E7FF-4739-B97D-24702959EAF7}"/>
</file>

<file path=customXml/itemProps4.xml><?xml version="1.0" encoding="utf-8"?>
<ds:datastoreItem xmlns:ds="http://schemas.openxmlformats.org/officeDocument/2006/customXml" ds:itemID="{447043D0-DCEE-434F-9C44-1C7987F5D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21</cp:revision>
  <dcterms:created xsi:type="dcterms:W3CDTF">2019-09-20T13:50:00Z</dcterms:created>
  <dcterms:modified xsi:type="dcterms:W3CDTF">2019-10-12T09:26:00Z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